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CD51" w14:textId="77777777" w:rsidR="00F938D7" w:rsidRPr="00F938D7" w:rsidRDefault="00F938D7" w:rsidP="00F9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  <w:t xml:space="preserve">карта обеспеченности литературой </w:t>
      </w:r>
    </w:p>
    <w:p w14:paraId="401FC694" w14:textId="507219E2" w:rsidR="00F938D7" w:rsidRPr="00F938D7" w:rsidRDefault="00F938D7" w:rsidP="00F9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  <w:t>По курсу</w:t>
      </w:r>
    </w:p>
    <w:p w14:paraId="1E11E3ED" w14:textId="77777777" w:rsidR="00F938D7" w:rsidRPr="00F938D7" w:rsidRDefault="00F938D7" w:rsidP="00F9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  <w:t xml:space="preserve"> «Конфликтогенные факторы в центрально-азиатской практике»</w:t>
      </w:r>
    </w:p>
    <w:p w14:paraId="2F61AB81" w14:textId="77777777" w:rsidR="00F938D7" w:rsidRPr="00F938D7" w:rsidRDefault="00F938D7" w:rsidP="00F938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0FD3460" w14:textId="77777777" w:rsidR="00F938D7" w:rsidRPr="00F938D7" w:rsidRDefault="00F938D7" w:rsidP="00F938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- Осенний семестр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2022-2023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уч. год;</w:t>
      </w:r>
    </w:p>
    <w:p w14:paraId="1CCF2FC7" w14:textId="77777777" w:rsidR="00F938D7" w:rsidRPr="00F938D7" w:rsidRDefault="00F938D7" w:rsidP="00F938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-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ОП  «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7M03108-Конфликтология».</w:t>
      </w:r>
    </w:p>
    <w:p w14:paraId="5368A428" w14:textId="77777777" w:rsidR="00F938D7" w:rsidRPr="00F938D7" w:rsidRDefault="00F938D7" w:rsidP="00F938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06E7B94" w14:textId="5C14CBD8" w:rsidR="00F938D7" w:rsidRPr="00F938D7" w:rsidRDefault="00F938D7" w:rsidP="00F938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Вся литература по курсу представлена в </w:t>
      </w:r>
      <w:r w:rsidRPr="00F938D7">
        <w:rPr>
          <w:rFonts w:ascii="Times New Roman" w:eastAsia="Times New Roman" w:hAnsi="Times New Roman" w:cs="Times New Roman"/>
          <w:sz w:val="20"/>
          <w:szCs w:val="20"/>
        </w:rPr>
        <w:t>PDF</w:t>
      </w: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формате в системе </w:t>
      </w:r>
      <w:r w:rsidRPr="00F938D7">
        <w:rPr>
          <w:rFonts w:ascii="Times New Roman" w:eastAsia="Times New Roman" w:hAnsi="Times New Roman" w:cs="Times New Roman"/>
          <w:sz w:val="20"/>
          <w:szCs w:val="20"/>
        </w:rPr>
        <w:t>UNIVER</w:t>
      </w: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, см. УМКД, раздел «дополнительные материалы»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Обеспеченность литературой </w:t>
      </w:r>
      <w:r>
        <w:rPr>
          <w:rFonts w:ascii="Times New Roman" w:eastAsia="Times New Roman" w:hAnsi="Times New Roman" w:cs="Times New Roman"/>
          <w:sz w:val="20"/>
          <w:szCs w:val="20"/>
        </w:rPr>
        <w:t>– 100%</w:t>
      </w:r>
    </w:p>
    <w:p w14:paraId="2499888F" w14:textId="77777777" w:rsidR="00F938D7" w:rsidRDefault="00F938D7" w:rsidP="00F9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1541748E" w14:textId="666AA71A" w:rsidR="00F938D7" w:rsidRPr="00F938D7" w:rsidRDefault="00F938D7" w:rsidP="00F9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Список литературы </w:t>
      </w:r>
    </w:p>
    <w:p w14:paraId="5C489683" w14:textId="71708CC9" w:rsidR="00F938D7" w:rsidRPr="00F938D7" w:rsidRDefault="00F938D7" w:rsidP="00F9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  <w:t xml:space="preserve">Модуль 1. Теоретические и концептуальные основы </w:t>
      </w:r>
      <w:r w:rsidRPr="00F938D7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  <w:t>РАССМОТРЕНИЯ КОНФЛИКТОГЕННЫХ</w:t>
      </w:r>
      <w:r w:rsidRPr="00F938D7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  <w:t xml:space="preserve"> факторов в ЦА</w:t>
      </w:r>
    </w:p>
    <w:p w14:paraId="416B7A27" w14:textId="77777777" w:rsidR="00F938D7" w:rsidRPr="00F938D7" w:rsidRDefault="00F938D7" w:rsidP="00F93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Потемкин, В. К. (2021). Конфликтология: учебник для вузов. СПБ, 373 с.</w:t>
      </w:r>
    </w:p>
    <w:p w14:paraId="533A1205" w14:textId="77777777" w:rsidR="00F938D7" w:rsidRPr="00F938D7" w:rsidRDefault="00F938D7" w:rsidP="00F93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Глухова, А. В. (2020). Политические конфликты в глобальную эпоху (К проблеме теоретической идентификации). Политическая наука, (3), </w:t>
      </w:r>
      <w:proofErr w:type="gramStart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13-33</w:t>
      </w:r>
      <w:proofErr w:type="gramEnd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75D21A36" w14:textId="77777777" w:rsidR="00F938D7" w:rsidRPr="00F938D7" w:rsidRDefault="00F938D7" w:rsidP="00F93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Омелаенко</w:t>
      </w:r>
      <w:proofErr w:type="spellEnd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Н. В. (2019). Социальный конфликт: диагностика, причины, управление. Известия высших учебных заведений. Социология. Экономика. Политика, (4), </w:t>
      </w:r>
      <w:proofErr w:type="gramStart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85-96</w:t>
      </w:r>
      <w:proofErr w:type="gramEnd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18448600" w14:textId="77777777" w:rsidR="00F938D7" w:rsidRPr="00F938D7" w:rsidRDefault="00F938D7" w:rsidP="00F93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Алешин, В. В. (2021). Правовое регулирование вооруженного конфликта немеждународного характера. Московский журнал международного права, (2), </w:t>
      </w:r>
      <w:proofErr w:type="gramStart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134-143</w:t>
      </w:r>
      <w:proofErr w:type="gramEnd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17D5758F" w14:textId="77777777" w:rsidR="00F938D7" w:rsidRPr="00F938D7" w:rsidRDefault="00F938D7" w:rsidP="00F93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Старушенко, Г. Б. (2021). Не только тушить, но и предупреждать конфликты (правовая основа превентивной политики и дипломатии). Московский журнал международного права, (1), </w:t>
      </w:r>
      <w:proofErr w:type="gramStart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28-48</w:t>
      </w:r>
      <w:proofErr w:type="gramEnd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730BB454" w14:textId="77777777" w:rsidR="00F938D7" w:rsidRPr="00F938D7" w:rsidRDefault="00F938D7" w:rsidP="00F93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де Кастро, А. Г. Ф. (2021). Международно-правовая регламентация внутренних вооруженных конфликтов. Московский журнал международного права, (1), </w:t>
      </w:r>
      <w:proofErr w:type="gramStart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90-106</w:t>
      </w:r>
      <w:proofErr w:type="gramEnd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2312025D" w14:textId="77777777" w:rsidR="00F938D7" w:rsidRPr="00F938D7" w:rsidRDefault="00F938D7" w:rsidP="00F93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Неженец, О. В., &amp; Петренко, Е. Г. (2020). ООН как посредник в урегулировании международных конфликтов. </w:t>
      </w:r>
      <w:proofErr w:type="spellStart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Эпомен</w:t>
      </w:r>
      <w:proofErr w:type="spellEnd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(35), </w:t>
      </w:r>
      <w:proofErr w:type="gramStart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230-235</w:t>
      </w:r>
      <w:proofErr w:type="gramEnd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04F16967" w14:textId="77777777" w:rsidR="00F938D7" w:rsidRPr="00F938D7" w:rsidRDefault="00F938D7" w:rsidP="00F93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Нестеров, Д. Л. (2020). МЕЖДУНАРОДНОЕ ГУМАНИТАРНОЕ ПРАВО: ПРАВО ВООРУЖЕННЫХ КОНФЛИКТОВ. Научно-практический журнал «Энигма» Выпуск № 28 часть 2, 56.</w:t>
      </w:r>
    </w:p>
    <w:p w14:paraId="3C655010" w14:textId="77777777" w:rsidR="00F938D7" w:rsidRPr="00F938D7" w:rsidRDefault="00F938D7" w:rsidP="00F93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Павловский, И. В. (2005). Регионоведение сегодня. Вестник Московского университета. Серия 19. Лингвистика и межкультурная коммуникация, (2), </w:t>
      </w:r>
      <w:proofErr w:type="gramStart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145-156</w:t>
      </w:r>
      <w:proofErr w:type="gramEnd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15BD3FC5" w14:textId="77777777" w:rsidR="00F938D7" w:rsidRPr="00F938D7" w:rsidRDefault="00F938D7" w:rsidP="00F93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Киреев, А. А. (2014). Понятие «регион» и предметно-методологические проблемы регионоведения. Регионалистика, 1(1), </w:t>
      </w:r>
      <w:proofErr w:type="gramStart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18-32</w:t>
      </w:r>
      <w:proofErr w:type="gramEnd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184426C2" w14:textId="77777777" w:rsidR="00F938D7" w:rsidRPr="00F938D7" w:rsidRDefault="00F938D7" w:rsidP="00F93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Максимцев</w:t>
      </w:r>
      <w:proofErr w:type="spellEnd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И. А., </w:t>
      </w:r>
      <w:proofErr w:type="spellStart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Межевич</w:t>
      </w:r>
      <w:proofErr w:type="spellEnd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, Н. М., &amp; Разумовский, В. М. (2019). Зарубежное регионоведение: вопросы теории и информационного обеспечения. Известия Санкт-Петербургского государственного экономического университета, (</w:t>
      </w:r>
      <w:proofErr w:type="gramStart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5-1</w:t>
      </w:r>
      <w:proofErr w:type="gramEnd"/>
      <w:r w:rsidRPr="00F938D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(119)), 7-14.</w:t>
      </w:r>
    </w:p>
    <w:p w14:paraId="098FB12E" w14:textId="77777777" w:rsidR="00F938D7" w:rsidRPr="00F938D7" w:rsidRDefault="00F938D7" w:rsidP="00F938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88CD6E0" w14:textId="77777777" w:rsidR="00F938D7" w:rsidRPr="00F938D7" w:rsidRDefault="00F938D7" w:rsidP="00F9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  <w:t>Модуль 2 Конфликтогенные факторы в отношениях между государствами ЦА</w:t>
      </w:r>
    </w:p>
    <w:p w14:paraId="7952248D" w14:textId="77777777" w:rsidR="00F938D7" w:rsidRPr="00F938D7" w:rsidRDefault="00F938D7" w:rsidP="00F93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48AC71A8" w14:textId="77777777" w:rsidR="00F938D7" w:rsidRPr="00F938D7" w:rsidRDefault="00F938D7" w:rsidP="00F938D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ЛАУМУЛИН М.Т. ЦЕНТРАЛЬНАЯ АЗИЯ В ЭПОХУ ТРАНСФОРМАЦИИ. – НУР-СУЛТАН: КИСИ ПРИ ПРЕЗИДЕНТЕ РК, 2020. – 464 С.</w:t>
      </w:r>
    </w:p>
    <w:p w14:paraId="1A911034" w14:textId="77777777" w:rsidR="00F938D7" w:rsidRPr="00F938D7" w:rsidRDefault="00F938D7" w:rsidP="00F938D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Мехмет, А. (2022). ВЛИЯНИЕ ПОГРАНИЧНЫХ СПОРОВ НА ВНЕШНЮЮ ПОЛИТИКУ ГОСУДАРСТВ ЦЕНТРАЛЬНОЙ АЗИИ. Постсоветские исследования, 5(3),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252-256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4A274A05" w14:textId="77777777" w:rsidR="00F938D7" w:rsidRPr="00F938D7" w:rsidRDefault="00F938D7" w:rsidP="00F938D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САИПОВА, К. Д. (2021). МЕЖНАЦИОНАЛЬНЫЕ ОТНОШЕНИЯ ГОСУДАРСТВ ЦЕНТРАЛЬНОЙ АЗИИ В ПОСЛЕДНЕЕ ДЕСЯТИЛЕТИЕ СОВЕТСКОГО ГОСПОДСТВА: ПУТИ И МЕТОДЫ СТАБИЛИЗАЦИИ. In Проблемы распада и наследия СССР в современном публичном пространстве (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pp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45-48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).</w:t>
      </w:r>
    </w:p>
    <w:p w14:paraId="604F8552" w14:textId="77777777" w:rsidR="00F938D7" w:rsidRPr="00F938D7" w:rsidRDefault="00F938D7" w:rsidP="00F938D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Аламанов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С. К. (2018). Анклавы в Центральной Азии: история вопроса и современные проблемы. Постсоветские исследования, 1(5),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451-459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65BA7D05" w14:textId="77777777" w:rsidR="00F938D7" w:rsidRPr="00F938D7" w:rsidRDefault="00F938D7" w:rsidP="00F938D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Нарбеков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А. (2022). Национально-территориальное размежевание в средней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азии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 его основные причины. Значение цифровых технологий в изучении истории Узбекистана, 1(01),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358-363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3E5B07AD" w14:textId="77777777" w:rsidR="00F938D7" w:rsidRPr="00F938D7" w:rsidRDefault="00F938D7" w:rsidP="00F938D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Турсунова, Р. Ю. (2022). СРЕДНЯЯ АЗИЯ–ЕДИНСТВО В МНОГООБРАЗИИ В СОВЕТСКИЙ ПЕРИОД (ИСТОРИКО-КУЛЬТУРНЫЙ АСПЕКТ). In III Международная научно-практическая конференция (p. 412).</w:t>
      </w:r>
    </w:p>
    <w:p w14:paraId="4542500A" w14:textId="77777777" w:rsidR="00F938D7" w:rsidRPr="00F938D7" w:rsidRDefault="00F938D7" w:rsidP="00F938D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Akulov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M. (2022). Тенденции в западных исследованиях истории Центральной Азии: пример журнала «Central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Asian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Survey». </w:t>
      </w:r>
      <w:r w:rsidRPr="00F938D7">
        <w:rPr>
          <w:rFonts w:ascii="Times New Roman" w:eastAsia="Times New Roman" w:hAnsi="Times New Roman" w:cs="Times New Roman"/>
          <w:sz w:val="20"/>
          <w:szCs w:val="20"/>
        </w:rPr>
        <w:t xml:space="preserve">Bulletin of LN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</w:rPr>
        <w:t>Gumilyov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</w:rPr>
        <w:t xml:space="preserve"> Eurasian National University. Historical Sciences. Philosophy.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Religious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studies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series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., 140(3),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7-20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1C056175" w14:textId="77777777" w:rsidR="00F938D7" w:rsidRPr="00F938D7" w:rsidRDefault="00F938D7" w:rsidP="00F938D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Арзыматова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А. А., &amp;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Атыканова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Д. А. (2022). НЕКОТОРЫЕ АСПЕКТЫ ИСТОРИИ КЫРГЫЗСКО-УЗБЕКСКИХ МЕЖЭТНИЧЕСКИХ ОТНОШЕНИЙ В ХРОНОЛОГИЧЕСКИЙ ПЕРИОД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1990-2010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 Международный журнал гуманитарных и естественных наук, (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5-1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), 52-58.</w:t>
      </w:r>
    </w:p>
    <w:p w14:paraId="15788678" w14:textId="77777777" w:rsidR="00F938D7" w:rsidRPr="00F938D7" w:rsidRDefault="00F938D7" w:rsidP="00F938D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Закирова, А. С., &amp; Закиров, М. А. (2022). Кыргызско-узбекские погранично-территориальные разногласия в постсоветский период. Известия Алтайского государственного университета, (6 (128)),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56-60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4BCB6F94" w14:textId="77777777" w:rsidR="00F938D7" w:rsidRPr="00F938D7" w:rsidRDefault="00F938D7" w:rsidP="00F938D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Кудаяров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К. А. (2022). ВНУТРИРЕГИОНАЛЬНЫЕ ПРОБЛЕМЫ БЕЗОПАСНОСТИ ЦЕНТРАЛЬНОЙ АЗИИ: НА ПРИМЕРЕ КЫРГЫЗСТАНА. Социальные и гуманитарные науки. Отечественная и зарубежная литература. Сер. 9, Востоковедение и африканистика: Реферативный журнал, (2),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59-80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56844D44" w14:textId="77777777" w:rsidR="00F938D7" w:rsidRPr="00F938D7" w:rsidRDefault="00F938D7" w:rsidP="00F938D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Холики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А., &amp; Рахимов, Н. Т. (2015). Спорные территории как очаги напряженности на границе. Вестник Таджикского государственного университета права, бизнеса и политики. Серия общественных наук, (3),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188-196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2C951500" w14:textId="77777777" w:rsidR="00F938D7" w:rsidRPr="00F938D7" w:rsidRDefault="00F938D7" w:rsidP="00F938D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Куртов, А. (2013). Водные ресурсы как причина конфликтов в Центральной Азии. Свободная мысль, (4),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103-116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6E537F08" w14:textId="77777777" w:rsidR="00F938D7" w:rsidRPr="00F938D7" w:rsidRDefault="00F938D7" w:rsidP="00F938D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Маллаев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Н. Р. (2021). Международно-правовое регулирование трансграничных водных ресурсов государств Центральной Азии. Бюллетень науки и практики, 7(5),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391-401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143D548A" w14:textId="77777777" w:rsidR="00F938D7" w:rsidRPr="00F938D7" w:rsidRDefault="00F938D7" w:rsidP="00F938D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Тураева, М. О. (2022). ДИНАМИКА РАЗВИТИЯ ТРАНСПОРТНО-ЛОГИСТИЧЕСКИХ СВЯЗЕЙ В ЦЕНТРАЛЬНО-АЗИАТСКОМ РЕГИОНЕ. Государственная служба, 24(3 (137)),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87-92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0FE0E4B6" w14:textId="77777777" w:rsidR="00F938D7" w:rsidRPr="00F938D7" w:rsidRDefault="00F938D7" w:rsidP="00F938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1B2E4E5" w14:textId="77777777" w:rsidR="00F938D7" w:rsidRPr="00F938D7" w:rsidRDefault="00F938D7" w:rsidP="00F938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E44C7D7" w14:textId="68E6FCD0" w:rsidR="00F938D7" w:rsidRPr="00F938D7" w:rsidRDefault="00F938D7" w:rsidP="00F9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  <w:t>Модуль 3 Конфликтогенные факторы внутри государств ЦА</w:t>
      </w:r>
    </w:p>
    <w:p w14:paraId="3CE7F9C5" w14:textId="77777777" w:rsidR="00F938D7" w:rsidRPr="00F938D7" w:rsidRDefault="00F938D7" w:rsidP="00F938D7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Лаумулин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М. (2022). ОБЗОР ЛИТЕРАТУРЫ ПО ЦЕНТРАЛЬНОЙ АЗИИ НА 2022 Г.: ЧАСТЬ I, 2, 3, 4. Казахстан-Спектр. </w:t>
      </w:r>
    </w:p>
    <w:p w14:paraId="2A65D754" w14:textId="77777777" w:rsidR="00F938D7" w:rsidRPr="00F938D7" w:rsidRDefault="00F938D7" w:rsidP="00F938D7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F938D7">
        <w:rPr>
          <w:rFonts w:ascii="Times New Roman" w:eastAsia="Times New Roman" w:hAnsi="Times New Roman" w:cs="Times New Roman"/>
          <w:sz w:val="20"/>
          <w:szCs w:val="20"/>
        </w:rPr>
        <w:t xml:space="preserve">Kazakhstan Journal for Foreign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</w:rPr>
        <w:t xml:space="preserve">Studies, 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</w:rPr>
        <w:t>KazISS</w:t>
      </w:r>
      <w:proofErr w:type="spellEnd"/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материалы</w:t>
      </w:r>
      <w:r w:rsidRPr="00F938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на</w:t>
      </w:r>
      <w:r w:rsidRPr="00F938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русском</w:t>
      </w:r>
      <w:r w:rsidRPr="00F938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языке</w:t>
      </w:r>
      <w:r w:rsidRPr="00F938D7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20028669" w14:textId="77777777" w:rsidR="00F938D7" w:rsidRPr="00F938D7" w:rsidRDefault="00F938D7" w:rsidP="00F938D7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Казахстан – Спектр. Журнал КИСИ при Президенте РК </w:t>
      </w:r>
    </w:p>
    <w:p w14:paraId="1BEB3C45" w14:textId="77777777" w:rsidR="00F938D7" w:rsidRPr="00F938D7" w:rsidRDefault="00F938D7" w:rsidP="00F938D7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Бор, А., Брауэр, Б., Гулд-Дэвис, Н.,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Касенова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Н.,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Лиллис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Д.,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Маллинсон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К., ... &amp; Сатпаев, Д. (2020). Казахстан: испытание «транзитом власти». Доклад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Chatham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House//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https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://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www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chathamhouse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org/sites/default/files/CHHJ8054-RUSSIAN-Kazakhstan-Report-FINAL.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pdf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, дата обращения 22.06.</w:t>
      </w:r>
    </w:p>
    <w:p w14:paraId="2A73D98A" w14:textId="77777777" w:rsidR="00F938D7" w:rsidRPr="00F938D7" w:rsidRDefault="00F938D7" w:rsidP="00F938D7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Кичикенов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А. (2016). КОНФЛИКТЫ СУВЕРЕННОГО КЫРГЫЗСТАНА. Вестник Бишкекского гуманитарного университета, (1),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249-250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396D5EFF" w14:textId="77777777" w:rsidR="00F938D7" w:rsidRPr="00F938D7" w:rsidRDefault="00F938D7" w:rsidP="00F938D7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Азимова, Ж. Ч. (2019). Особенности этнических противоречий в Кыргызской Республике. Вестник Кыргызско-Российского Славянского университета, 19(6),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3-6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33E22AA3" w14:textId="77777777" w:rsidR="00F938D7" w:rsidRPr="00F938D7" w:rsidRDefault="00F938D7" w:rsidP="00F938D7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Мамытова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Э. (2004). Религиозные, этнические и клановые аспекты конфликтов в Центральной Азии. Россия и мусульманский мир, (2),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96-107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068A8C6E" w14:textId="77777777" w:rsidR="00F938D7" w:rsidRPr="00F938D7" w:rsidRDefault="00F938D7" w:rsidP="00F938D7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Лузянин, С. (2005). «Цветные революции» в центральноазиатской проекции: Кыргызстан Узбекистан Казахстан. Центральная Азия и Кавказ, (5 (41)),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7-21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0C3A09F1" w14:textId="77777777" w:rsidR="00F938D7" w:rsidRPr="00F938D7" w:rsidRDefault="00F938D7" w:rsidP="00F938D7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Сатарбаев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, А. М. (2020). МЕЖЭТНИЧЕСКИЕ КОНФЛИКТЫ В ФЕРГАНСКОЙ ДОЛИНЕ В КОНЦЕ XX ВЕКА. Вестник Ошского государственного университета, (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1-3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), 97-101.</w:t>
      </w:r>
    </w:p>
    <w:p w14:paraId="299C1BF3" w14:textId="77777777" w:rsidR="00F938D7" w:rsidRPr="00F938D7" w:rsidRDefault="00F938D7" w:rsidP="00F938D7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Назаршоева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С. Ф. (2019). Гражданская война и политика памяти в Республике Таджикистан. Дневник Алтайской школы политических исследований, (35),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161-165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64E8F1FF" w14:textId="77777777" w:rsidR="00F938D7" w:rsidRPr="00F938D7" w:rsidRDefault="00F938D7" w:rsidP="00F938D7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Грозин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А. В. (2022). ИСТОРИЧЕСКАЯ ПОЛИТИКА КАК ФАКТОР ВНУТРИПОЛИТИЧЕСКОГО ПРОЦЕССА В СТРАНАХ ПОСТСОВЕТСКОЙ АЗИИ. ЧАСТЬ 1. Постсоветский материк, (2 (34)),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114-134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5798B0BB" w14:textId="77777777" w:rsidR="00F938D7" w:rsidRPr="00F938D7" w:rsidRDefault="00F938D7" w:rsidP="00F938D7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val="ru-RU"/>
        </w:rPr>
      </w:pPr>
    </w:p>
    <w:p w14:paraId="17C0E1C2" w14:textId="77777777" w:rsidR="00F938D7" w:rsidRPr="00F938D7" w:rsidRDefault="00F938D7" w:rsidP="00F938D7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val="ru-RU"/>
        </w:rPr>
      </w:pPr>
    </w:p>
    <w:p w14:paraId="5DA19190" w14:textId="77777777" w:rsidR="00F938D7" w:rsidRPr="00F938D7" w:rsidRDefault="00F938D7" w:rsidP="00F9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/>
        </w:rPr>
        <w:t>Модуль 4 Конфликт геополитических проектов для ЦА</w:t>
      </w:r>
    </w:p>
    <w:p w14:paraId="0DA7641B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 Концепции внешней политики Республики Казахстан на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2020 – 2030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годы. 9 марта 2020 года// https://www.akorda.kz/ru/legal_acts/decrees/o-koncepcii-vneshnei-politiki-respubliki-kazahstan-na-2020-2030-gody</w:t>
      </w:r>
    </w:p>
    <w:p w14:paraId="69B812AF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Лаумулин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М. (2022). ОБЗОР ЛИТЕРАТУРЫ ПО ЦЕНТРАЛЬНОЙ АЗИИ НА 2022 Г.: ЧАСТЬ I, 2, 3, 4. Казахстан-Спектр. </w:t>
      </w:r>
    </w:p>
    <w:p w14:paraId="55B1AA3A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F938D7">
        <w:rPr>
          <w:rFonts w:ascii="Times New Roman" w:eastAsia="Times New Roman" w:hAnsi="Times New Roman" w:cs="Times New Roman"/>
          <w:sz w:val="20"/>
          <w:szCs w:val="20"/>
        </w:rPr>
        <w:t xml:space="preserve">Kazakhstan Journal for Foreign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</w:rPr>
        <w:t xml:space="preserve">Studies, 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</w:rPr>
        <w:t>KazISS</w:t>
      </w:r>
      <w:proofErr w:type="spellEnd"/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материалы</w:t>
      </w:r>
      <w:r w:rsidRPr="00F938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на</w:t>
      </w:r>
      <w:r w:rsidRPr="00F938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русском</w:t>
      </w:r>
      <w:r w:rsidRPr="00F938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языке</w:t>
      </w:r>
      <w:r w:rsidRPr="00F938D7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1BDC4711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Кушкумбаев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, С. (2022). ЦЕНТРАЛЬНОАЗИАТСКИЙ ВЕКТОР ВНЕШНЕЙ ПОЛИТИКИ КАЗАХСТАНА: КУРС НА КООПЕРАЦИЮ И СБЛИЖЕНИЕ. Казахстан-Спектр, 104(4).</w:t>
      </w:r>
    </w:p>
    <w:p w14:paraId="6C9F2267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КУШКУМБАЕВ С.К. КАЗАХСТАН И ЦЕНТРАЛЬНАЯ АЗИЯ МЕЖДУ ВЫЗОВАМИ ИЗ ПРОШЛОГО И ГРЯДУЩЕГО. СБОРНИК СТАТЕЙ, ВЫСТУПЛЕНИЙ И ИНТЕРВЬЮ. – АСТАНА, 2022. – 372 с.</w:t>
      </w:r>
    </w:p>
    <w:p w14:paraId="2FF7B158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Байзакова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К. И., Сабуров, Н., &amp;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Оразбай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Ə. (2021). Появление интеграционных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процесов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 Центральной Азии в сравнении с АСЕАН. Вестник Карагандинского университета. Серия: История. Философия, 102(2),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31-39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4C5B5469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Хайбуллина, Маркос ВОДА КАК ФАКТОР ЭКОНОМИЧЕСКОГО РОСТА И БЕЗОПАСНОСТИ В ЦЕНТРАЛЬНОЙ АЗИИ: ПОСЛЕДСТВИЯ БЕЗДЕЙСТВИЯ И ПРЕИМУЩЕСТВА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СОТРУДНИЧЕСТВАю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казахстан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спектр 1. 2022</w:t>
      </w:r>
    </w:p>
    <w:p w14:paraId="66C21902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Азретбергенова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Г. Ж., Сыздыкова, А. О.,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Кенжегалиева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А., &amp;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Есенали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А. (2022). Определяющие факторы прямых иностранных инвестиций в странах Центральной Азии. Вестник университета «Туран», (4),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76-88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3F464BE6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Алымкулов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М. С., &amp;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Наматов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, Н. А. (2021). «БОЛЬШАЯ ИГРА» РОССИЙСКOЙ И БРИТАНСКOЙ ИМПЕРИИ В ЦЕНТРАЛЬНОЙ АЗИИ. Большая Евразия: Развитие, безопасность, сотрудничество, (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4-1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), 15-17.</w:t>
      </w:r>
    </w:p>
    <w:p w14:paraId="06DA9F29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Шукушева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, Е. В. (2020). Центральная Азия в политике Европейского союза. In Развитие политических институтов и процессов: зарубежный и отечественный опыт (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pp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699-706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).</w:t>
      </w:r>
    </w:p>
    <w:p w14:paraId="0C188AE4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Дульский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А. Д. (2021). Борьба за влияние в Центральной Азии между Россией, Китаем и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Японией  Сибирский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федеральный университет).</w:t>
      </w:r>
    </w:p>
    <w:p w14:paraId="2494F9A3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Колесникова, Л. С. (2020). Новая стратегия Европейского Союза в Центральной Азии и её влияние на евроазиатскую интеграцию. Постсоветские исследования, 3(2),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136-144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0239AD86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Касенова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Н. (2007). ЕС в Центральной Азии: Стратегия в контексте евразийской геополитики. Центральная Азия и Кавказ, (4 (52)),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115-126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79C28FD8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Меден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Н. К. (2012). Стратегия ЕС в Центральной Азии: уроки и перспективы. Россия и новые государства Евразии, (4),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52-61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38154B15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 xml:space="preserve">Норов, Б. И. (2019). ЦЕНТРАЛЬНАЯ АЗИЯ И ГЕОПОЛИТИКА США В ЭТОМ РЕГИОНЕ. Известия Института философии, политологии и права имени А. </w:t>
      </w: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Баховаддинова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Академии наук Республики Таджикистан, (4),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120-125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23EE278B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Надирханов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, У. С. (2022). РАЗВИТИЕ ПОНЯТИЯ «ПРЯМЫЕ ИНОСТРАННЫЕ ИНВЕСТИЦИИ» В ЗАКОНОДАТЕЛЬСТВЕ СТРАН ЦЕНТРАЛЬНОЙ АЗИИ. Большая Евразия: развитие, безопасность, сотрудничество, (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5-1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), 911-916.</w:t>
      </w:r>
    </w:p>
    <w:p w14:paraId="026FBAD8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Александрова, В. А. (2020). Экономическое сотрудничество России и государств Центральной Азии: торговля, инвестиции, перспективы развития. Скиф. Вопросы студенческой науки, (2 (42)),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332-337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135F9E8D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Махмутова</w:t>
      </w:r>
      <w:proofErr w:type="spell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Е. В. (2018). Центральная Азия в поисках собственной интеграционной модели. Вестник МГИМО Университета, (4 (61)),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78-91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565255E6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Надеин-Раевский Виктор Анатольевич (2022). ИСТОРИЯ ПАНТЮРКИЗМА И ЕГО СОВРЕМЕННЫЕ СТОРОННИКИ. ЧАСТЬ 1. ПАНТЮРКИЗМ: ОСНОВНЫЕ ВЕХИ ИСТОРИИ. Перспективы. Электронный журнал, (1 (28)),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62-73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2FB63EC2" w14:textId="77777777" w:rsidR="00F938D7" w:rsidRPr="00F938D7" w:rsidRDefault="00F938D7" w:rsidP="00F938D7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Надеин-Раевский Виктор Анатольевич (2022). ИСТОРИЯ ПАНТЮРКИЗМА И ЕГО СОВРЕМЕННЫЕ СТОРОННИКИ. ЧАСТЬ 2. НОВЫЙ ЭТАП ПАНТЮРКИСТСКИХ НАДЕЖД. Перспективы. Электронный журнал, (2 (29)), </w:t>
      </w:r>
      <w:proofErr w:type="gramStart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94-108</w:t>
      </w:r>
      <w:proofErr w:type="gramEnd"/>
      <w:r w:rsidRPr="00F938D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5BB67943" w14:textId="77777777" w:rsidR="00F938D7" w:rsidRPr="00F938D7" w:rsidRDefault="00F938D7">
      <w:pPr>
        <w:rPr>
          <w:rFonts w:ascii="Times New Roman" w:hAnsi="Times New Roman" w:cs="Times New Roman"/>
          <w:sz w:val="20"/>
          <w:szCs w:val="20"/>
        </w:rPr>
      </w:pPr>
    </w:p>
    <w:sectPr w:rsidR="00F938D7" w:rsidRPr="00F938D7" w:rsidSect="002A6E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4AE7"/>
    <w:multiLevelType w:val="hybridMultilevel"/>
    <w:tmpl w:val="6C98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A2C85"/>
    <w:multiLevelType w:val="hybridMultilevel"/>
    <w:tmpl w:val="621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64F8F"/>
    <w:multiLevelType w:val="hybridMultilevel"/>
    <w:tmpl w:val="BC3C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20FBA"/>
    <w:multiLevelType w:val="hybridMultilevel"/>
    <w:tmpl w:val="B1F80C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2405C"/>
    <w:multiLevelType w:val="hybridMultilevel"/>
    <w:tmpl w:val="7B80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2642D"/>
    <w:multiLevelType w:val="hybridMultilevel"/>
    <w:tmpl w:val="CF98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F572E"/>
    <w:multiLevelType w:val="hybridMultilevel"/>
    <w:tmpl w:val="78AA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A339E"/>
    <w:multiLevelType w:val="hybridMultilevel"/>
    <w:tmpl w:val="ED80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E33BC"/>
    <w:multiLevelType w:val="hybridMultilevel"/>
    <w:tmpl w:val="F0AA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76F84"/>
    <w:multiLevelType w:val="hybridMultilevel"/>
    <w:tmpl w:val="C8C2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6754F"/>
    <w:multiLevelType w:val="hybridMultilevel"/>
    <w:tmpl w:val="5AC005B2"/>
    <w:lvl w:ilvl="0" w:tplc="FE603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342C"/>
    <w:multiLevelType w:val="hybridMultilevel"/>
    <w:tmpl w:val="6650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1497B"/>
    <w:multiLevelType w:val="hybridMultilevel"/>
    <w:tmpl w:val="57BAD3A6"/>
    <w:lvl w:ilvl="0" w:tplc="FE603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533D2"/>
    <w:multiLevelType w:val="hybridMultilevel"/>
    <w:tmpl w:val="2C6A40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A6A32"/>
    <w:multiLevelType w:val="hybridMultilevel"/>
    <w:tmpl w:val="9DFE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513E5"/>
    <w:multiLevelType w:val="hybridMultilevel"/>
    <w:tmpl w:val="C8D06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E5618"/>
    <w:multiLevelType w:val="hybridMultilevel"/>
    <w:tmpl w:val="432C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45C0E"/>
    <w:multiLevelType w:val="hybridMultilevel"/>
    <w:tmpl w:val="BBD2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110D8"/>
    <w:multiLevelType w:val="hybridMultilevel"/>
    <w:tmpl w:val="9F9C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D5762"/>
    <w:multiLevelType w:val="hybridMultilevel"/>
    <w:tmpl w:val="B1F80C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F5420"/>
    <w:multiLevelType w:val="hybridMultilevel"/>
    <w:tmpl w:val="6B1C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0"/>
        <w:szCs w:val="20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B42CE"/>
    <w:multiLevelType w:val="hybridMultilevel"/>
    <w:tmpl w:val="43D2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17EEA"/>
    <w:multiLevelType w:val="hybridMultilevel"/>
    <w:tmpl w:val="6A6C41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004C4"/>
    <w:multiLevelType w:val="hybridMultilevel"/>
    <w:tmpl w:val="16146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C3D17"/>
    <w:multiLevelType w:val="hybridMultilevel"/>
    <w:tmpl w:val="CCC05D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949F8"/>
    <w:multiLevelType w:val="hybridMultilevel"/>
    <w:tmpl w:val="FF64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F278C"/>
    <w:multiLevelType w:val="hybridMultilevel"/>
    <w:tmpl w:val="A864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C70D7"/>
    <w:multiLevelType w:val="hybridMultilevel"/>
    <w:tmpl w:val="7D72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C0E5D"/>
    <w:multiLevelType w:val="hybridMultilevel"/>
    <w:tmpl w:val="64EA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684627">
    <w:abstractNumId w:val="18"/>
  </w:num>
  <w:num w:numId="2" w16cid:durableId="25763626">
    <w:abstractNumId w:val="17"/>
  </w:num>
  <w:num w:numId="3" w16cid:durableId="1110004039">
    <w:abstractNumId w:val="23"/>
  </w:num>
  <w:num w:numId="4" w16cid:durableId="1347441865">
    <w:abstractNumId w:val="19"/>
  </w:num>
  <w:num w:numId="5" w16cid:durableId="1739984783">
    <w:abstractNumId w:val="13"/>
  </w:num>
  <w:num w:numId="6" w16cid:durableId="316306739">
    <w:abstractNumId w:val="8"/>
  </w:num>
  <w:num w:numId="7" w16cid:durableId="63842991">
    <w:abstractNumId w:val="9"/>
  </w:num>
  <w:num w:numId="8" w16cid:durableId="829053753">
    <w:abstractNumId w:val="12"/>
  </w:num>
  <w:num w:numId="9" w16cid:durableId="1600866157">
    <w:abstractNumId w:val="10"/>
  </w:num>
  <w:num w:numId="10" w16cid:durableId="1921326843">
    <w:abstractNumId w:val="20"/>
  </w:num>
  <w:num w:numId="11" w16cid:durableId="1291941058">
    <w:abstractNumId w:val="4"/>
  </w:num>
  <w:num w:numId="12" w16cid:durableId="440418576">
    <w:abstractNumId w:val="21"/>
  </w:num>
  <w:num w:numId="13" w16cid:durableId="1443303197">
    <w:abstractNumId w:val="7"/>
  </w:num>
  <w:num w:numId="14" w16cid:durableId="2048752260">
    <w:abstractNumId w:val="0"/>
  </w:num>
  <w:num w:numId="15" w16cid:durableId="2083521925">
    <w:abstractNumId w:val="27"/>
  </w:num>
  <w:num w:numId="16" w16cid:durableId="1692754288">
    <w:abstractNumId w:val="15"/>
  </w:num>
  <w:num w:numId="17" w16cid:durableId="1232621883">
    <w:abstractNumId w:val="1"/>
  </w:num>
  <w:num w:numId="18" w16cid:durableId="418987588">
    <w:abstractNumId w:val="11"/>
  </w:num>
  <w:num w:numId="19" w16cid:durableId="1973827584">
    <w:abstractNumId w:val="6"/>
  </w:num>
  <w:num w:numId="20" w16cid:durableId="109907030">
    <w:abstractNumId w:val="28"/>
  </w:num>
  <w:num w:numId="21" w16cid:durableId="1779791461">
    <w:abstractNumId w:val="5"/>
  </w:num>
  <w:num w:numId="22" w16cid:durableId="1149519126">
    <w:abstractNumId w:val="16"/>
  </w:num>
  <w:num w:numId="23" w16cid:durableId="253128084">
    <w:abstractNumId w:val="2"/>
  </w:num>
  <w:num w:numId="24" w16cid:durableId="273876009">
    <w:abstractNumId w:val="14"/>
  </w:num>
  <w:num w:numId="25" w16cid:durableId="1479567316">
    <w:abstractNumId w:val="26"/>
  </w:num>
  <w:num w:numId="26" w16cid:durableId="1814911537">
    <w:abstractNumId w:val="3"/>
  </w:num>
  <w:num w:numId="27" w16cid:durableId="1491172212">
    <w:abstractNumId w:val="24"/>
  </w:num>
  <w:num w:numId="28" w16cid:durableId="1958756158">
    <w:abstractNumId w:val="25"/>
  </w:num>
  <w:num w:numId="29" w16cid:durableId="20996746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D7"/>
    <w:rsid w:val="00F9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4A25"/>
  <w15:chartTrackingRefBased/>
  <w15:docId w15:val="{CB25ED1B-07D1-40DB-BF57-27B1023E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938D7"/>
  </w:style>
  <w:style w:type="table" w:styleId="TableGrid">
    <w:name w:val="Table Grid"/>
    <w:basedOn w:val="TableNormal"/>
    <w:uiPriority w:val="39"/>
    <w:rsid w:val="00F93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38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1424</Words>
  <Characters>8121</Characters>
  <Application>Microsoft Office Word</Application>
  <DocSecurity>0</DocSecurity>
  <Lines>67</Lines>
  <Paragraphs>19</Paragraphs>
  <ScaleCrop>false</ScaleCrop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1</cp:revision>
  <dcterms:created xsi:type="dcterms:W3CDTF">2023-01-26T01:46:00Z</dcterms:created>
  <dcterms:modified xsi:type="dcterms:W3CDTF">2023-01-26T01:53:00Z</dcterms:modified>
</cp:coreProperties>
</file>